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35" w:rsidRDefault="006C4F35" w:rsidP="009007B1">
      <w:pPr>
        <w:tabs>
          <w:tab w:val="left" w:pos="3686"/>
        </w:tabs>
        <w:jc w:val="center"/>
        <w:rPr>
          <w:b/>
          <w:sz w:val="32"/>
          <w:szCs w:val="32"/>
        </w:rPr>
      </w:pPr>
      <w:r w:rsidRPr="006C4F35">
        <w:rPr>
          <w:rFonts w:hint="eastAsia"/>
          <w:b/>
          <w:sz w:val="32"/>
          <w:szCs w:val="32"/>
        </w:rPr>
        <w:t>2021</w:t>
      </w:r>
      <w:r w:rsidRPr="006C4F35">
        <w:rPr>
          <w:rFonts w:hint="eastAsia"/>
          <w:b/>
          <w:sz w:val="32"/>
          <w:szCs w:val="32"/>
        </w:rPr>
        <w:t>年度江苏省中医药研究院青年科学研究项目</w:t>
      </w:r>
      <w:r w:rsidR="00D1224C">
        <w:rPr>
          <w:rFonts w:hint="eastAsia"/>
          <w:b/>
          <w:sz w:val="32"/>
          <w:szCs w:val="32"/>
        </w:rPr>
        <w:t>拟立项</w:t>
      </w:r>
      <w:r w:rsidRPr="006C4F35">
        <w:rPr>
          <w:rFonts w:hint="eastAsia"/>
          <w:b/>
          <w:sz w:val="32"/>
          <w:szCs w:val="32"/>
        </w:rPr>
        <w:t>公示清单</w:t>
      </w:r>
    </w:p>
    <w:p w:rsidR="004E04F1" w:rsidRPr="006C4F35" w:rsidRDefault="004E04F1" w:rsidP="006C4F35">
      <w:pPr>
        <w:jc w:val="center"/>
        <w:rPr>
          <w:b/>
          <w:sz w:val="32"/>
          <w:szCs w:val="32"/>
        </w:rPr>
      </w:pPr>
    </w:p>
    <w:tbl>
      <w:tblPr>
        <w:tblStyle w:val="a5"/>
        <w:tblW w:w="0" w:type="auto"/>
        <w:jc w:val="center"/>
        <w:tblLook w:val="04A0"/>
      </w:tblPr>
      <w:tblGrid>
        <w:gridCol w:w="817"/>
        <w:gridCol w:w="1559"/>
        <w:gridCol w:w="1560"/>
        <w:gridCol w:w="10238"/>
      </w:tblGrid>
      <w:tr w:rsidR="00061305" w:rsidTr="009007B1">
        <w:trPr>
          <w:trHeight w:val="567"/>
          <w:jc w:val="center"/>
        </w:trPr>
        <w:tc>
          <w:tcPr>
            <w:tcW w:w="817" w:type="dxa"/>
            <w:vAlign w:val="center"/>
          </w:tcPr>
          <w:p w:rsidR="00061305" w:rsidRPr="006C4F35" w:rsidRDefault="00061305" w:rsidP="006C4F35">
            <w:pPr>
              <w:jc w:val="center"/>
              <w:rPr>
                <w:b/>
              </w:rPr>
            </w:pPr>
            <w:r w:rsidRPr="006C4F35">
              <w:rPr>
                <w:rFonts w:hint="eastAsia"/>
                <w:b/>
              </w:rPr>
              <w:t>序号</w:t>
            </w:r>
          </w:p>
        </w:tc>
        <w:tc>
          <w:tcPr>
            <w:tcW w:w="1559" w:type="dxa"/>
            <w:vAlign w:val="center"/>
          </w:tcPr>
          <w:p w:rsidR="00061305" w:rsidRPr="006C4F35" w:rsidRDefault="00061305" w:rsidP="006C4F35">
            <w:pPr>
              <w:jc w:val="center"/>
              <w:rPr>
                <w:b/>
              </w:rPr>
            </w:pPr>
            <w:r>
              <w:rPr>
                <w:rFonts w:hint="eastAsia"/>
                <w:b/>
              </w:rPr>
              <w:t>第一负责人</w:t>
            </w:r>
          </w:p>
        </w:tc>
        <w:tc>
          <w:tcPr>
            <w:tcW w:w="1560" w:type="dxa"/>
            <w:vAlign w:val="center"/>
          </w:tcPr>
          <w:p w:rsidR="00061305" w:rsidRPr="006C4F35" w:rsidRDefault="00061305" w:rsidP="00061305">
            <w:pPr>
              <w:jc w:val="center"/>
              <w:rPr>
                <w:b/>
              </w:rPr>
            </w:pPr>
            <w:r>
              <w:rPr>
                <w:rFonts w:hint="eastAsia"/>
                <w:b/>
              </w:rPr>
              <w:t>第二负责人</w:t>
            </w:r>
          </w:p>
        </w:tc>
        <w:tc>
          <w:tcPr>
            <w:tcW w:w="10238" w:type="dxa"/>
            <w:vAlign w:val="center"/>
          </w:tcPr>
          <w:p w:rsidR="00061305" w:rsidRPr="006C4F35" w:rsidRDefault="00061305" w:rsidP="006C4F35">
            <w:pPr>
              <w:jc w:val="center"/>
              <w:rPr>
                <w:b/>
              </w:rPr>
            </w:pPr>
            <w:r w:rsidRPr="006C4F35">
              <w:rPr>
                <w:rFonts w:hint="eastAsia"/>
                <w:b/>
              </w:rPr>
              <w:t>项目名称</w:t>
            </w:r>
          </w:p>
        </w:tc>
      </w:tr>
      <w:tr w:rsidR="00061305" w:rsidTr="009007B1">
        <w:trPr>
          <w:trHeight w:val="567"/>
          <w:jc w:val="center"/>
        </w:trPr>
        <w:tc>
          <w:tcPr>
            <w:tcW w:w="817" w:type="dxa"/>
            <w:vAlign w:val="center"/>
          </w:tcPr>
          <w:p w:rsidR="00061305" w:rsidRDefault="00061305" w:rsidP="006C4F35">
            <w:pPr>
              <w:jc w:val="center"/>
            </w:pPr>
            <w:r>
              <w:rPr>
                <w:rFonts w:hint="eastAsia"/>
              </w:rPr>
              <w:t>1</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翁翎</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林琳</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空间代谢组学对鲜药人参囊泡“扶正固本”调控肠道免疫机制的研究</w:t>
            </w:r>
          </w:p>
        </w:tc>
      </w:tr>
      <w:tr w:rsidR="00061305" w:rsidTr="009007B1">
        <w:trPr>
          <w:trHeight w:val="567"/>
          <w:jc w:val="center"/>
        </w:trPr>
        <w:tc>
          <w:tcPr>
            <w:tcW w:w="817" w:type="dxa"/>
            <w:vAlign w:val="center"/>
          </w:tcPr>
          <w:p w:rsidR="00061305" w:rsidRDefault="00061305" w:rsidP="006C4F35">
            <w:pPr>
              <w:jc w:val="center"/>
            </w:pPr>
            <w:r>
              <w:rPr>
                <w:rFonts w:hint="eastAsia"/>
              </w:rPr>
              <w:t>2</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许小进</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张健</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丹酚酸</w:t>
            </w:r>
            <w:r>
              <w:rPr>
                <w:rFonts w:hint="eastAsia"/>
                <w:color w:val="000000"/>
                <w:sz w:val="20"/>
                <w:szCs w:val="20"/>
              </w:rPr>
              <w:t>B</w:t>
            </w:r>
            <w:r>
              <w:rPr>
                <w:rFonts w:hint="eastAsia"/>
                <w:color w:val="000000"/>
                <w:sz w:val="20"/>
                <w:szCs w:val="20"/>
              </w:rPr>
              <w:t>调控</w:t>
            </w:r>
            <w:r>
              <w:rPr>
                <w:rFonts w:hint="eastAsia"/>
                <w:color w:val="000000"/>
                <w:sz w:val="20"/>
                <w:szCs w:val="20"/>
              </w:rPr>
              <w:t>NCOA4/Ferritinophagy</w:t>
            </w:r>
            <w:r>
              <w:rPr>
                <w:rFonts w:hint="eastAsia"/>
                <w:color w:val="000000"/>
                <w:sz w:val="20"/>
                <w:szCs w:val="20"/>
              </w:rPr>
              <w:t>（铁自噬）防治缺氧诱导心肌铁死亡的机制研究</w:t>
            </w:r>
          </w:p>
        </w:tc>
      </w:tr>
      <w:tr w:rsidR="00061305" w:rsidTr="009007B1">
        <w:trPr>
          <w:trHeight w:val="567"/>
          <w:jc w:val="center"/>
        </w:trPr>
        <w:tc>
          <w:tcPr>
            <w:tcW w:w="817" w:type="dxa"/>
            <w:vAlign w:val="center"/>
          </w:tcPr>
          <w:p w:rsidR="00061305" w:rsidRDefault="00061305" w:rsidP="006C4F35">
            <w:pPr>
              <w:jc w:val="center"/>
            </w:pPr>
            <w:r>
              <w:rPr>
                <w:rFonts w:hint="eastAsia"/>
              </w:rPr>
              <w:t>3</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周静</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龙芳</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基于整体观的翼首草“祛风通痹”功效质量标志物研究</w:t>
            </w:r>
          </w:p>
        </w:tc>
      </w:tr>
      <w:tr w:rsidR="00061305" w:rsidTr="009007B1">
        <w:trPr>
          <w:trHeight w:val="567"/>
          <w:jc w:val="center"/>
        </w:trPr>
        <w:tc>
          <w:tcPr>
            <w:tcW w:w="817" w:type="dxa"/>
            <w:vAlign w:val="center"/>
          </w:tcPr>
          <w:p w:rsidR="00061305" w:rsidRDefault="00061305" w:rsidP="006C4F35">
            <w:pPr>
              <w:jc w:val="center"/>
            </w:pPr>
            <w:r>
              <w:rPr>
                <w:rFonts w:hint="eastAsia"/>
              </w:rPr>
              <w:t>4</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高昕</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张健</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绞股蓝总皂苷调控</w:t>
            </w:r>
            <w:r>
              <w:rPr>
                <w:rFonts w:hint="eastAsia"/>
                <w:color w:val="000000"/>
                <w:sz w:val="20"/>
                <w:szCs w:val="20"/>
              </w:rPr>
              <w:t>PCSK9</w:t>
            </w:r>
            <w:r>
              <w:rPr>
                <w:rFonts w:hint="eastAsia"/>
                <w:color w:val="000000"/>
                <w:sz w:val="20"/>
                <w:szCs w:val="20"/>
              </w:rPr>
              <w:t>与“脂噬”串话促</w:t>
            </w:r>
            <w:r>
              <w:rPr>
                <w:rFonts w:hint="eastAsia"/>
                <w:color w:val="000000"/>
                <w:sz w:val="20"/>
                <w:szCs w:val="20"/>
              </w:rPr>
              <w:t>LDL-C</w:t>
            </w:r>
            <w:r>
              <w:rPr>
                <w:rFonts w:hint="eastAsia"/>
                <w:color w:val="000000"/>
                <w:sz w:val="20"/>
                <w:szCs w:val="20"/>
              </w:rPr>
              <w:t>达标抗动脉粥样硬化的机制研究</w:t>
            </w:r>
          </w:p>
        </w:tc>
      </w:tr>
      <w:tr w:rsidR="00061305" w:rsidTr="009007B1">
        <w:trPr>
          <w:trHeight w:val="567"/>
          <w:jc w:val="center"/>
        </w:trPr>
        <w:tc>
          <w:tcPr>
            <w:tcW w:w="817" w:type="dxa"/>
            <w:vAlign w:val="center"/>
          </w:tcPr>
          <w:p w:rsidR="00061305" w:rsidRDefault="00061305" w:rsidP="006C4F35">
            <w:pPr>
              <w:jc w:val="center"/>
            </w:pPr>
            <w:r>
              <w:rPr>
                <w:rFonts w:hint="eastAsia"/>
              </w:rPr>
              <w:t>5</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李检阅</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朱粉霞</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基于</w:t>
            </w:r>
            <w:r>
              <w:rPr>
                <w:rFonts w:hint="eastAsia"/>
                <w:color w:val="000000"/>
                <w:sz w:val="20"/>
                <w:szCs w:val="20"/>
              </w:rPr>
              <w:t>RNA-seq</w:t>
            </w:r>
            <w:r>
              <w:rPr>
                <w:rFonts w:hint="eastAsia"/>
                <w:color w:val="000000"/>
                <w:sz w:val="20"/>
                <w:szCs w:val="20"/>
              </w:rPr>
              <w:t>和分子对接探讨扶正散结治疗胃癌的药效物质基础和作用机制</w:t>
            </w:r>
          </w:p>
        </w:tc>
      </w:tr>
      <w:tr w:rsidR="00061305" w:rsidTr="009007B1">
        <w:trPr>
          <w:trHeight w:val="567"/>
          <w:jc w:val="center"/>
        </w:trPr>
        <w:tc>
          <w:tcPr>
            <w:tcW w:w="817" w:type="dxa"/>
            <w:vAlign w:val="center"/>
          </w:tcPr>
          <w:p w:rsidR="00061305" w:rsidRDefault="00061305" w:rsidP="006C4F35">
            <w:pPr>
              <w:jc w:val="center"/>
            </w:pPr>
            <w:r>
              <w:rPr>
                <w:rFonts w:hint="eastAsia"/>
              </w:rPr>
              <w:t>6</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李忠意</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叶娟</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三子方调节肠道菌群及肿瘤相关蛋白表达改善结直肠腺瘤术后复发的临床研究</w:t>
            </w:r>
          </w:p>
        </w:tc>
      </w:tr>
      <w:tr w:rsidR="00061305" w:rsidTr="009007B1">
        <w:trPr>
          <w:trHeight w:val="567"/>
          <w:jc w:val="center"/>
        </w:trPr>
        <w:tc>
          <w:tcPr>
            <w:tcW w:w="817" w:type="dxa"/>
            <w:vAlign w:val="center"/>
          </w:tcPr>
          <w:p w:rsidR="00061305" w:rsidRDefault="00061305" w:rsidP="006C4F35">
            <w:pPr>
              <w:jc w:val="center"/>
            </w:pPr>
            <w:r>
              <w:rPr>
                <w:rFonts w:hint="eastAsia"/>
              </w:rPr>
              <w:t>7</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秦凤霞</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魏清筠</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基于对胃肠动力的影响探讨电针治疗脓毒症脾胃虚寒证患者胃肠功能障碍的临床研究</w:t>
            </w:r>
          </w:p>
        </w:tc>
      </w:tr>
      <w:tr w:rsidR="00061305" w:rsidTr="009007B1">
        <w:trPr>
          <w:trHeight w:val="567"/>
          <w:jc w:val="center"/>
        </w:trPr>
        <w:tc>
          <w:tcPr>
            <w:tcW w:w="817" w:type="dxa"/>
            <w:vAlign w:val="center"/>
          </w:tcPr>
          <w:p w:rsidR="00061305" w:rsidRDefault="00061305" w:rsidP="006C4F35">
            <w:pPr>
              <w:jc w:val="center"/>
            </w:pPr>
            <w:r>
              <w:rPr>
                <w:rFonts w:hint="eastAsia"/>
              </w:rPr>
              <w:t>8</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王婧</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李晓琦</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基于于外泌体</w:t>
            </w:r>
            <w:r>
              <w:rPr>
                <w:rFonts w:hint="eastAsia"/>
                <w:color w:val="000000"/>
                <w:sz w:val="20"/>
                <w:szCs w:val="20"/>
              </w:rPr>
              <w:t>miRNA143/MAPKs</w:t>
            </w:r>
            <w:r>
              <w:rPr>
                <w:rFonts w:hint="eastAsia"/>
                <w:color w:val="000000"/>
                <w:sz w:val="20"/>
                <w:szCs w:val="20"/>
              </w:rPr>
              <w:t>通路探讨清络通痹方治疗类湿关节炎的分子机制</w:t>
            </w:r>
          </w:p>
        </w:tc>
      </w:tr>
      <w:tr w:rsidR="00061305" w:rsidTr="009007B1">
        <w:trPr>
          <w:trHeight w:val="567"/>
          <w:jc w:val="center"/>
        </w:trPr>
        <w:tc>
          <w:tcPr>
            <w:tcW w:w="817" w:type="dxa"/>
            <w:vAlign w:val="center"/>
          </w:tcPr>
          <w:p w:rsidR="00061305" w:rsidRDefault="00061305" w:rsidP="006C4F35">
            <w:pPr>
              <w:jc w:val="center"/>
            </w:pPr>
            <w:r>
              <w:rPr>
                <w:rFonts w:hint="eastAsia"/>
              </w:rPr>
              <w:t>9</w:t>
            </w:r>
          </w:p>
        </w:tc>
        <w:tc>
          <w:tcPr>
            <w:tcW w:w="1559" w:type="dxa"/>
            <w:vAlign w:val="center"/>
          </w:tcPr>
          <w:p w:rsidR="00061305" w:rsidRDefault="00061305" w:rsidP="006C4F35">
            <w:pPr>
              <w:jc w:val="center"/>
              <w:rPr>
                <w:rFonts w:ascii="宋体" w:eastAsia="宋体" w:hAnsi="宋体" w:cs="宋体"/>
                <w:sz w:val="20"/>
                <w:szCs w:val="20"/>
              </w:rPr>
            </w:pPr>
            <w:r>
              <w:rPr>
                <w:rFonts w:hint="eastAsia"/>
                <w:sz w:val="20"/>
                <w:szCs w:val="20"/>
              </w:rPr>
              <w:t>王炜</w:t>
            </w:r>
          </w:p>
        </w:tc>
        <w:tc>
          <w:tcPr>
            <w:tcW w:w="1560" w:type="dxa"/>
            <w:vAlign w:val="center"/>
          </w:tcPr>
          <w:p w:rsidR="00061305" w:rsidRDefault="00061305" w:rsidP="00061305">
            <w:pPr>
              <w:jc w:val="center"/>
              <w:rPr>
                <w:color w:val="000000"/>
                <w:sz w:val="20"/>
                <w:szCs w:val="20"/>
              </w:rPr>
            </w:pPr>
            <w:r>
              <w:rPr>
                <w:rFonts w:hint="eastAsia"/>
                <w:color w:val="000000"/>
                <w:sz w:val="20"/>
                <w:szCs w:val="20"/>
              </w:rPr>
              <w:t>蒋翠花</w:t>
            </w:r>
          </w:p>
        </w:tc>
        <w:tc>
          <w:tcPr>
            <w:tcW w:w="10238" w:type="dxa"/>
            <w:vAlign w:val="center"/>
          </w:tcPr>
          <w:p w:rsidR="00061305" w:rsidRDefault="00061305" w:rsidP="006C4F35">
            <w:pPr>
              <w:jc w:val="left"/>
              <w:rPr>
                <w:rFonts w:ascii="宋体" w:eastAsia="宋体" w:hAnsi="宋体" w:cs="宋体"/>
                <w:color w:val="000000"/>
                <w:sz w:val="20"/>
                <w:szCs w:val="20"/>
              </w:rPr>
            </w:pPr>
            <w:r>
              <w:rPr>
                <w:rFonts w:hint="eastAsia"/>
                <w:color w:val="000000"/>
                <w:sz w:val="20"/>
                <w:szCs w:val="20"/>
              </w:rPr>
              <w:t>基于</w:t>
            </w:r>
            <w:r>
              <w:rPr>
                <w:rFonts w:hint="eastAsia"/>
                <w:color w:val="000000"/>
                <w:sz w:val="20"/>
                <w:szCs w:val="20"/>
              </w:rPr>
              <w:t>ZBP1/RIP1/RIP3/MLKL</w:t>
            </w:r>
            <w:r>
              <w:rPr>
                <w:rFonts w:hint="eastAsia"/>
                <w:color w:val="000000"/>
                <w:sz w:val="20"/>
                <w:szCs w:val="20"/>
              </w:rPr>
              <w:t>通路调控心肌成纤维细胞程序性坏死在房颤心肌纤维化中的机制及人参皂苷</w:t>
            </w:r>
            <w:r>
              <w:rPr>
                <w:rFonts w:hint="eastAsia"/>
                <w:color w:val="000000"/>
                <w:sz w:val="20"/>
                <w:szCs w:val="20"/>
              </w:rPr>
              <w:t>Rg1</w:t>
            </w:r>
            <w:r>
              <w:rPr>
                <w:rFonts w:hint="eastAsia"/>
                <w:color w:val="000000"/>
                <w:sz w:val="20"/>
                <w:szCs w:val="20"/>
              </w:rPr>
              <w:t>干预研究</w:t>
            </w:r>
          </w:p>
        </w:tc>
      </w:tr>
      <w:tr w:rsidR="00061305" w:rsidTr="009007B1">
        <w:trPr>
          <w:trHeight w:val="567"/>
          <w:jc w:val="center"/>
        </w:trPr>
        <w:tc>
          <w:tcPr>
            <w:tcW w:w="817" w:type="dxa"/>
            <w:vAlign w:val="center"/>
          </w:tcPr>
          <w:p w:rsidR="00061305" w:rsidRDefault="00061305" w:rsidP="006C4F35">
            <w:pPr>
              <w:jc w:val="center"/>
            </w:pPr>
            <w:r>
              <w:rPr>
                <w:rFonts w:hint="eastAsia"/>
              </w:rPr>
              <w:t>10</w:t>
            </w:r>
          </w:p>
        </w:tc>
        <w:tc>
          <w:tcPr>
            <w:tcW w:w="1559" w:type="dxa"/>
            <w:vAlign w:val="center"/>
          </w:tcPr>
          <w:p w:rsidR="00061305" w:rsidRDefault="00061305" w:rsidP="006C4F35">
            <w:pPr>
              <w:jc w:val="center"/>
            </w:pPr>
            <w:r>
              <w:rPr>
                <w:rFonts w:hint="eastAsia"/>
              </w:rPr>
              <w:t>余万</w:t>
            </w:r>
          </w:p>
        </w:tc>
        <w:tc>
          <w:tcPr>
            <w:tcW w:w="1560" w:type="dxa"/>
            <w:vAlign w:val="center"/>
          </w:tcPr>
          <w:p w:rsidR="00061305" w:rsidRPr="006C4F35" w:rsidRDefault="00061305" w:rsidP="00061305">
            <w:pPr>
              <w:jc w:val="center"/>
              <w:rPr>
                <w:sz w:val="20"/>
              </w:rPr>
            </w:pPr>
            <w:r>
              <w:rPr>
                <w:rFonts w:hint="eastAsia"/>
                <w:sz w:val="20"/>
              </w:rPr>
              <w:t>曹萌</w:t>
            </w:r>
          </w:p>
        </w:tc>
        <w:tc>
          <w:tcPr>
            <w:tcW w:w="10238" w:type="dxa"/>
            <w:vAlign w:val="center"/>
          </w:tcPr>
          <w:p w:rsidR="00061305" w:rsidRDefault="00061305" w:rsidP="006C4F35">
            <w:pPr>
              <w:jc w:val="left"/>
            </w:pPr>
            <w:r w:rsidRPr="006C4F35">
              <w:rPr>
                <w:rFonts w:hint="eastAsia"/>
                <w:sz w:val="20"/>
              </w:rPr>
              <w:t>五苓散治疗重型颅脑损伤的临床与机制研究</w:t>
            </w:r>
          </w:p>
        </w:tc>
      </w:tr>
    </w:tbl>
    <w:p w:rsidR="00010812" w:rsidRPr="006C4F35" w:rsidRDefault="00010812" w:rsidP="006C4F35">
      <w:pPr>
        <w:jc w:val="center"/>
      </w:pPr>
    </w:p>
    <w:sectPr w:rsidR="00010812" w:rsidRPr="006C4F35" w:rsidSect="006C4F3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0D3" w:rsidRDefault="00E650D3" w:rsidP="006C4F35">
      <w:r>
        <w:separator/>
      </w:r>
    </w:p>
  </w:endnote>
  <w:endnote w:type="continuationSeparator" w:id="1">
    <w:p w:rsidR="00E650D3" w:rsidRDefault="00E650D3" w:rsidP="006C4F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0D3" w:rsidRDefault="00E650D3" w:rsidP="006C4F35">
      <w:r>
        <w:separator/>
      </w:r>
    </w:p>
  </w:footnote>
  <w:footnote w:type="continuationSeparator" w:id="1">
    <w:p w:rsidR="00E650D3" w:rsidRDefault="00E650D3" w:rsidP="006C4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F35"/>
    <w:rsid w:val="00010812"/>
    <w:rsid w:val="00061305"/>
    <w:rsid w:val="001410C0"/>
    <w:rsid w:val="001834BE"/>
    <w:rsid w:val="004E04F1"/>
    <w:rsid w:val="006C4F35"/>
    <w:rsid w:val="007B0CD2"/>
    <w:rsid w:val="008A2E16"/>
    <w:rsid w:val="009007B1"/>
    <w:rsid w:val="00BE6358"/>
    <w:rsid w:val="00C20421"/>
    <w:rsid w:val="00D1224C"/>
    <w:rsid w:val="00D70054"/>
    <w:rsid w:val="00E65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0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F35"/>
    <w:rPr>
      <w:sz w:val="18"/>
      <w:szCs w:val="18"/>
    </w:rPr>
  </w:style>
  <w:style w:type="paragraph" w:styleId="a4">
    <w:name w:val="footer"/>
    <w:basedOn w:val="a"/>
    <w:link w:val="Char0"/>
    <w:uiPriority w:val="99"/>
    <w:semiHidden/>
    <w:unhideWhenUsed/>
    <w:rsid w:val="006C4F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F35"/>
    <w:rPr>
      <w:sz w:val="18"/>
      <w:szCs w:val="18"/>
    </w:rPr>
  </w:style>
  <w:style w:type="table" w:styleId="a5">
    <w:name w:val="Table Grid"/>
    <w:basedOn w:val="a1"/>
    <w:uiPriority w:val="59"/>
    <w:rsid w:val="006C4F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2021-06-24T06:40:00Z</dcterms:created>
  <dcterms:modified xsi:type="dcterms:W3CDTF">2021-07-05T01:35:00Z</dcterms:modified>
</cp:coreProperties>
</file>