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(基本户开户银行)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二、公告内容：江苏省中西医结合医院基本户开户银行询价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在南京地区设有分支机构。并提供金融企业营业执照（副本）。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监管评级达到一定标准，人民银行2018、2019年度综合评价B级及以上。</w:t>
      </w:r>
    </w:p>
    <w:p>
      <w:pPr>
        <w:snapToGrid w:val="0"/>
        <w:spacing w:line="400" w:lineRule="exact"/>
        <w:ind w:left="719" w:leftChars="228" w:hanging="240" w:hangingChars="100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sz w:val="24"/>
          <w:szCs w:val="24"/>
        </w:rPr>
        <w:t>投标时确定的针对本项目的服务机构是获得江苏省分·行或在江苏省的最高级别的分行（行政机构）唯一授权的分支机构，并承诺在中标后不得改变和转移。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AAF3775"/>
    <w:rsid w:val="44991280"/>
    <w:rsid w:val="569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2020-06-19T09:13:43Z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